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92</w:t>
      </w:r>
    </w:p>
    <w:p>
      <w:r>
        <w:t>Bundesgericht (BGE), 2002-10-03, DE</w:t>
      </w:r>
    </w:p>
    <w:p>
      <w:r>
        <w:rPr>
          <w:b/>
        </w:rPr>
        <w:t xml:space="preserve">Quelle: </w:t>
      </w:r>
      <w:r>
        <w:t>https://mcp.opencaselaw.ch/entscheid/bge_129 II 92</w:t>
      </w:r>
    </w:p>
    <w:p>
      <w:r>
        <w:t>FR: ATF 129 II 92</w:t>
      </w:r>
    </w:p>
    <w:p>
      <w:r>
        <w:t>IT: DTF 129 II 92</w:t>
      </w:r>
    </w:p>
    <w:p>
      <w:pPr>
        <w:pStyle w:val="Heading2"/>
      </w:pPr>
      <w:r>
        <w:t>Regeste</w:t>
      </w:r>
    </w:p>
    <w:p>
      <w:r>
        <w:t>Regeste Art. 16 Abs. 2 und 3 SVG, Art. 31 Abs. 1 und Art. 33 Abs. 2 VZV, Art. 12 und 263 StGB; Führerausweisentzug, Verübung einer Tat in selbstverschuldeter Unzurechnungsfähigkeit. Die Anordnung eines Warnungsentzugs setzt - abgesehen vom Tatbestand der Verwendung eines Motorfahrzeugs zur Begehung eines Verbrechens oder mehrfacher vorsätzlicher Vergehen (Art. 16 Abs. 3 lit. f SVG) - eine schuldhaft begangene Verkehrsregelverletzung voraus (E. 2.1). Diese Voraussetzung ist bei der Verurteilung eines Täters wegen Verübung einer Tat in selbstverschuldeter Unzurechnungsfähigkeit nicht gegeben. Allenfalls kommt ein Sicherungsentzug in Betracht (E. 2.2).</w:t>
      </w:r>
    </w:p>
    <w:p>
      <w:pPr>
        <w:pStyle w:val="Heading2"/>
      </w:pPr>
      <w:r>
        <w:t>Erwägungen</w:t>
      </w:r>
    </w:p>
    <w:p>
      <w:r>
        <w:rPr>
          <w:b/>
        </w:rPr>
        <w:t>E. 2</w:t>
      </w:r>
    </w:p>
    <w:p>
      <w:r>
        <w:t>Der Entzug des Führerausweises stellt für den Betroffenen in der Regel einen schweren Eingriff dar. Er setzt deshalb eine gesetzliche Grundlage voraus.</w:t>
      </w:r>
    </w:p>
    <w:p>
      <w:r>
        <w:rPr>
          <w:b/>
        </w:rPr>
        <w:t>E. 2.1</w:t>
      </w:r>
    </w:p>
    <w:p>
      <w:r>
        <w:t>Das Gesetz unterscheidet zwischen Warnungs- und Sicherungsentzug. Ein Warnungsentzug kommt nur unter den Voraussetzungen von Art. 16 Abs. 2 und 3 SVG in Betracht. Mit Ausnahme des Falles von Art. 16 Abs. 3 lit. f SVG (Verwendung eines Motorfahrzeugs zur Begehung eines Verbrechens oder mehrfacher vorsätzlicher Vergehen) setzt der Warnungsentzug stets eine Verkehrsregelverletzung voraus. Allerdings wurde in der bisherigen Rechtsprechung nie näher geklärt, ob die für einen Warnungsentzug erforderliche Verkehrsregelverletzung auch schuldhaft begangen sein müsse. Der vorübergehende Entzug des Führerausweises soll eine fühlbare Warnung an jene Motorfahrzeuglenker sein, die es an Sorgfalt und Rücksichtnahme im Strassenverkehr fehlen lassen. Der Massnahme kommt damit ein erzieherischer und präventiver Charakter zu. Der fehlbare Lenker soll zu mehr Sorgfalt und Verantwortung erzogen und dadurch von weiteren Verkehrsdelikten abgehalten werden ( BGE 128 II 173 E. 3b). Die mit dem Warnungsentzug angestrebte Einsicht und Besserung kann aber nur zum Tragen kommen, wenn die begangene Verkehrsregelverletzung dem Lenker vorgeworfen werden kann, ihn dafür also ein Verschulden trifft. Das Verschuldenserfordernis steht auch mit der neueren Rechtsprechung in Einklang, die den Warnungsentzug als strafähnliche Massnahme BGE 129 II 92 S. 95 qualifiziert, und die schon bisher - wenn auch nur beiläufig - festgehalten hat, sie setze eine vorsätzlich oder fahrlässig begangene Verkehrsregelverletzung voraus ( BGE 121 II 22 E. 3b S. 26; BGE 120 Ib 504 E. 4b S. 507). Der Verordnungsgeber geht ebenfalls davon aus, dass Warnungsentzüge nur bei einem Verschulden des Lenkers in Betracht kommen. So sieht Art. 31 Abs. 1 der Verordnung vom 27. Oktober 1976 über die Zulassung von Personen und Fahrzeugen zum Strassenverkehr (VZV; SR 741.51) den Entzug des Lern- oder Führerausweises vor, wenn der Führer Verkehrsregeln schuldhaft verletzt und dadurch entweder den Verkehr gefährdet oder andere belästigt hat. Ferner bildet nach Art. 33 Abs. 2 VZV das Verschulden einen massgeblichen Faktor bei der Bemessung der Entzugsdauer.</w:t>
      </w:r>
    </w:p>
    <w:p>
      <w:r>
        <w:rPr>
          <w:b/>
        </w:rPr>
        <w:t>E. 2.2</w:t>
      </w:r>
    </w:p>
    <w:p>
      <w:r>
        <w:t>Der Beschwerdeführer wurde nicht wegen einer Verkehrsregelverletzung, insbesondere auch nicht wegen Fahrens in angetrunkenem Zustand in Form der "actio libera in causa" ( Art. 12 StGB ) verurteilt. Es erfolgte ausschliesslich ein Schuldspruch wegen einer Tat in selbstverschuldeter Trunkenheit ( Art. 263 StGB ). Eine verschuldete Verkehrsregelverletzung ist somit nicht nachgewiesen. Ist eine solche nicht gegeben, und kommt es deshalb nur zu einer Verurteilung nach Art. 263 StGB , ist ein Warnungsentzug ausgeschlossen (SCHAFFHAUSER, Grundriss des schweizerischen Strassenverkehrsrechts, Bd. III, N. 2394). Im Anschluss an eine Verurteilung nach Art. 263 StGB kommt deshalb nur ein Sicherungsentzug in Betracht.</w:t>
      </w:r>
    </w:p>
    <w:p>
      <w:r>
        <w:rPr>
          <w:b/>
        </w:rPr>
        <w:t>E. 2.3</w:t>
      </w:r>
    </w:p>
    <w:p>
      <w:r>
        <w:t>Der gegen den Beschwerdeführer verfügte Warnungsentzug verstösst gegen Bundesrecht, weshalb der angefochtene Entscheid aufzuheben ist. Die Sache wird an die Vorinstanz zurückgewiesen, damit diese abkläre, ob beim Beschwerdeführer die Voraussetzungen für die Anordnung eines Sicherungsentzugs gegeben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